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AF659" w14:textId="77777777" w:rsidR="00F61715" w:rsidRPr="00D005A9" w:rsidRDefault="00316C23">
      <w:pPr>
        <w:pStyle w:val="BodyText"/>
        <w:spacing w:before="82"/>
        <w:ind w:left="100"/>
        <w:rPr>
          <w:rFonts w:ascii="Arial" w:hAnsi="Arial" w:cs="Arial"/>
        </w:rPr>
      </w:pPr>
      <w:r w:rsidRPr="00D005A9">
        <w:rPr>
          <w:rFonts w:ascii="Arial" w:hAnsi="Arial" w:cs="Arial"/>
        </w:rPr>
        <w:t>Partners</w:t>
      </w:r>
      <w:r w:rsidRPr="00D005A9">
        <w:rPr>
          <w:rFonts w:ascii="Arial" w:hAnsi="Arial" w:cs="Arial"/>
          <w:spacing w:val="-4"/>
        </w:rPr>
        <w:t xml:space="preserve"> </w:t>
      </w:r>
      <w:r w:rsidRPr="00D005A9">
        <w:rPr>
          <w:rFonts w:ascii="Arial" w:hAnsi="Arial" w:cs="Arial"/>
        </w:rPr>
        <w:t>in</w:t>
      </w:r>
      <w:r w:rsidRPr="00D005A9">
        <w:rPr>
          <w:rFonts w:ascii="Arial" w:hAnsi="Arial" w:cs="Arial"/>
          <w:spacing w:val="-2"/>
        </w:rPr>
        <w:t xml:space="preserve"> </w:t>
      </w:r>
      <w:r w:rsidRPr="00D005A9">
        <w:rPr>
          <w:rFonts w:ascii="Arial" w:hAnsi="Arial" w:cs="Arial"/>
        </w:rPr>
        <w:t>Practice</w:t>
      </w:r>
      <w:r w:rsidRPr="00D005A9">
        <w:rPr>
          <w:rFonts w:ascii="Arial" w:hAnsi="Arial" w:cs="Arial"/>
          <w:spacing w:val="-2"/>
        </w:rPr>
        <w:t xml:space="preserve"> </w:t>
      </w:r>
      <w:r w:rsidRPr="00D005A9">
        <w:rPr>
          <w:rFonts w:ascii="Arial" w:hAnsi="Arial" w:cs="Arial"/>
        </w:rPr>
        <w:t>Learning</w:t>
      </w:r>
      <w:r w:rsidRPr="00D005A9">
        <w:rPr>
          <w:rFonts w:ascii="Arial" w:hAnsi="Arial" w:cs="Arial"/>
          <w:spacing w:val="-2"/>
        </w:rPr>
        <w:t xml:space="preserve"> Review</w:t>
      </w:r>
    </w:p>
    <w:p w14:paraId="74499510" w14:textId="77777777" w:rsidR="00F61715" w:rsidRPr="00D005A9" w:rsidRDefault="00316C23">
      <w:pPr>
        <w:pStyle w:val="BodyText"/>
        <w:spacing w:before="107"/>
        <w:ind w:left="100"/>
        <w:rPr>
          <w:rFonts w:ascii="Arial" w:hAnsi="Arial" w:cs="Arial"/>
        </w:rPr>
      </w:pPr>
      <w:r w:rsidRPr="00D005A9">
        <w:rPr>
          <w:rFonts w:ascii="Arial" w:hAnsi="Arial" w:cs="Arial"/>
          <w:color w:val="646363"/>
        </w:rPr>
        <w:t>Threshold</w:t>
      </w:r>
      <w:r w:rsidRPr="00D005A9">
        <w:rPr>
          <w:rFonts w:ascii="Arial" w:hAnsi="Arial" w:cs="Arial"/>
          <w:color w:val="646363"/>
          <w:spacing w:val="-4"/>
        </w:rPr>
        <w:t xml:space="preserve"> </w:t>
      </w:r>
      <w:r w:rsidRPr="00D005A9">
        <w:rPr>
          <w:rFonts w:ascii="Arial" w:hAnsi="Arial" w:cs="Arial"/>
          <w:color w:val="646363"/>
        </w:rPr>
        <w:t>for</w:t>
      </w:r>
      <w:r w:rsidRPr="00D005A9">
        <w:rPr>
          <w:rFonts w:ascii="Arial" w:hAnsi="Arial" w:cs="Arial"/>
          <w:color w:val="646363"/>
          <w:spacing w:val="-7"/>
        </w:rPr>
        <w:t xml:space="preserve"> </w:t>
      </w:r>
      <w:r w:rsidRPr="00D005A9">
        <w:rPr>
          <w:rFonts w:ascii="Arial" w:hAnsi="Arial" w:cs="Arial"/>
          <w:color w:val="646363"/>
        </w:rPr>
        <w:t>Public</w:t>
      </w:r>
      <w:r w:rsidRPr="00D005A9">
        <w:rPr>
          <w:rFonts w:ascii="Arial" w:hAnsi="Arial" w:cs="Arial"/>
          <w:color w:val="646363"/>
          <w:spacing w:val="-2"/>
        </w:rPr>
        <w:t xml:space="preserve"> </w:t>
      </w:r>
      <w:r w:rsidRPr="00D005A9">
        <w:rPr>
          <w:rFonts w:ascii="Arial" w:hAnsi="Arial" w:cs="Arial"/>
          <w:color w:val="646363"/>
        </w:rPr>
        <w:t>Law</w:t>
      </w:r>
      <w:r w:rsidRPr="00D005A9">
        <w:rPr>
          <w:rFonts w:ascii="Arial" w:hAnsi="Arial" w:cs="Arial"/>
          <w:color w:val="646363"/>
          <w:spacing w:val="-1"/>
        </w:rPr>
        <w:t xml:space="preserve"> </w:t>
      </w:r>
      <w:r w:rsidRPr="00D005A9">
        <w:rPr>
          <w:rFonts w:ascii="Arial" w:hAnsi="Arial" w:cs="Arial"/>
          <w:color w:val="646363"/>
        </w:rPr>
        <w:t>Outline</w:t>
      </w:r>
      <w:r w:rsidRPr="00D005A9">
        <w:rPr>
          <w:rFonts w:ascii="Arial" w:hAnsi="Arial" w:cs="Arial"/>
          <w:color w:val="646363"/>
          <w:spacing w:val="-2"/>
        </w:rPr>
        <w:t xml:space="preserve"> </w:t>
      </w:r>
      <w:r w:rsidRPr="00D005A9">
        <w:rPr>
          <w:rFonts w:ascii="Arial" w:hAnsi="Arial" w:cs="Arial"/>
          <w:color w:val="646363"/>
        </w:rPr>
        <w:t>and</w:t>
      </w:r>
      <w:r w:rsidRPr="00D005A9">
        <w:rPr>
          <w:rFonts w:ascii="Arial" w:hAnsi="Arial" w:cs="Arial"/>
          <w:color w:val="646363"/>
          <w:spacing w:val="-2"/>
        </w:rPr>
        <w:t xml:space="preserve"> </w:t>
      </w:r>
      <w:r w:rsidRPr="00D005A9">
        <w:rPr>
          <w:rFonts w:ascii="Arial" w:hAnsi="Arial" w:cs="Arial"/>
          <w:color w:val="646363"/>
        </w:rPr>
        <w:t>Care</w:t>
      </w:r>
      <w:r w:rsidRPr="00D005A9">
        <w:rPr>
          <w:rFonts w:ascii="Arial" w:hAnsi="Arial" w:cs="Arial"/>
          <w:color w:val="646363"/>
          <w:spacing w:val="-7"/>
        </w:rPr>
        <w:t xml:space="preserve"> </w:t>
      </w:r>
      <w:r w:rsidRPr="00D005A9">
        <w:rPr>
          <w:rFonts w:ascii="Arial" w:hAnsi="Arial" w:cs="Arial"/>
          <w:color w:val="646363"/>
          <w:spacing w:val="-2"/>
        </w:rPr>
        <w:t>Applications</w:t>
      </w:r>
    </w:p>
    <w:p w14:paraId="45E873C2" w14:textId="77777777" w:rsidR="00F61715" w:rsidRPr="00D005A9" w:rsidRDefault="00F61715">
      <w:pPr>
        <w:pStyle w:val="BodyText"/>
        <w:rPr>
          <w:rFonts w:ascii="Arial" w:hAnsi="Arial" w:cs="Arial"/>
          <w:sz w:val="20"/>
        </w:rPr>
      </w:pPr>
    </w:p>
    <w:p w14:paraId="01ADB784" w14:textId="77777777" w:rsidR="00F61715" w:rsidRPr="00D005A9" w:rsidRDefault="00F61715">
      <w:pPr>
        <w:pStyle w:val="BodyText"/>
        <w:rPr>
          <w:rFonts w:ascii="Arial" w:hAnsi="Arial" w:cs="Arial"/>
          <w:sz w:val="20"/>
        </w:rPr>
      </w:pPr>
    </w:p>
    <w:p w14:paraId="0065F4DC" w14:textId="77777777" w:rsidR="00F61715" w:rsidRPr="00D005A9" w:rsidRDefault="00F61715">
      <w:pPr>
        <w:pStyle w:val="BodyText"/>
        <w:spacing w:before="6"/>
        <w:rPr>
          <w:rFonts w:ascii="Arial" w:hAnsi="Arial" w:cs="Arial"/>
          <w:sz w:val="11"/>
        </w:rPr>
      </w:pPr>
    </w:p>
    <w:tbl>
      <w:tblPr>
        <w:tblW w:w="0" w:type="auto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5988"/>
      </w:tblGrid>
      <w:tr w:rsidR="00F61715" w:rsidRPr="00D005A9" w14:paraId="038AA92B" w14:textId="77777777">
        <w:trPr>
          <w:trHeight w:val="846"/>
        </w:trPr>
        <w:tc>
          <w:tcPr>
            <w:tcW w:w="10445" w:type="dxa"/>
            <w:gridSpan w:val="2"/>
            <w:tcBorders>
              <w:top w:val="nil"/>
              <w:left w:val="nil"/>
              <w:right w:val="nil"/>
            </w:tcBorders>
            <w:shd w:val="clear" w:color="auto" w:fill="96C0C1"/>
          </w:tcPr>
          <w:p w14:paraId="626F4E59" w14:textId="77777777" w:rsidR="00F61715" w:rsidRPr="00D005A9" w:rsidRDefault="00316C23">
            <w:pPr>
              <w:pStyle w:val="TableParagraph"/>
              <w:spacing w:before="113"/>
              <w:ind w:left="1697" w:right="1697"/>
              <w:jc w:val="center"/>
              <w:rPr>
                <w:rFonts w:ascii="Arial" w:hAnsi="Arial" w:cs="Arial"/>
                <w:b/>
                <w:sz w:val="28"/>
              </w:rPr>
            </w:pPr>
            <w:r w:rsidRPr="00D005A9">
              <w:rPr>
                <w:rFonts w:ascii="Arial" w:hAnsi="Arial" w:cs="Arial"/>
                <w:b/>
                <w:sz w:val="28"/>
              </w:rPr>
              <w:t>PART</w:t>
            </w:r>
            <w:r w:rsidRPr="00D005A9">
              <w:rPr>
                <w:rFonts w:ascii="Arial" w:hAnsi="Arial" w:cs="Arial"/>
                <w:b/>
                <w:spacing w:val="-14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B:</w:t>
            </w:r>
            <w:r w:rsidRPr="00D005A9">
              <w:rPr>
                <w:rFonts w:ascii="Arial" w:hAnsi="Arial" w:cs="Arial"/>
                <w:b/>
                <w:spacing w:val="-6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Case</w:t>
            </w:r>
            <w:r w:rsidRPr="00D005A9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File</w:t>
            </w:r>
            <w:r w:rsidRPr="00D005A9">
              <w:rPr>
                <w:rFonts w:ascii="Arial" w:hAnsi="Arial" w:cs="Arial"/>
                <w:b/>
                <w:spacing w:val="-5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8"/>
              </w:rPr>
              <w:t>Understanding</w:t>
            </w:r>
          </w:p>
          <w:p w14:paraId="631DA688" w14:textId="77777777" w:rsidR="00F61715" w:rsidRPr="00D005A9" w:rsidRDefault="00316C23">
            <w:pPr>
              <w:pStyle w:val="TableParagraph"/>
              <w:spacing w:before="88"/>
              <w:ind w:left="1697" w:right="1697"/>
              <w:jc w:val="center"/>
              <w:rPr>
                <w:rFonts w:ascii="Arial" w:hAnsi="Arial" w:cs="Arial"/>
                <w:i/>
                <w:sz w:val="20"/>
              </w:rPr>
            </w:pPr>
            <w:r w:rsidRPr="00D005A9">
              <w:rPr>
                <w:rFonts w:ascii="Arial" w:hAnsi="Arial" w:cs="Arial"/>
                <w:i/>
                <w:sz w:val="20"/>
              </w:rPr>
              <w:t>What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has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happened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to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child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before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they</w:t>
            </w:r>
            <w:r w:rsidRPr="00D005A9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got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into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final-end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of</w:t>
            </w:r>
            <w:r w:rsidRPr="00D005A9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system?</w:t>
            </w:r>
          </w:p>
        </w:tc>
      </w:tr>
      <w:tr w:rsidR="00F61715" w:rsidRPr="00D005A9" w14:paraId="33059849" w14:textId="77777777">
        <w:trPr>
          <w:trHeight w:val="409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79889076" w14:textId="77777777" w:rsidR="00F61715" w:rsidRPr="00D005A9" w:rsidRDefault="00316C23">
            <w:pPr>
              <w:pStyle w:val="TableParagraph"/>
              <w:spacing w:before="91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 xml:space="preserve">Case 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>ID: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071B07C4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696CB179" w14:textId="77777777">
        <w:trPr>
          <w:trHeight w:val="409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78AFF731" w14:textId="77777777" w:rsidR="00F61715" w:rsidRPr="00D005A9" w:rsidRDefault="00316C23">
            <w:pPr>
              <w:pStyle w:val="TableParagraph"/>
              <w:spacing w:before="91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Social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Worker: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11AB085E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30591352" w14:textId="77777777">
        <w:trPr>
          <w:trHeight w:val="409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09E1590F" w14:textId="77777777" w:rsidR="00F61715" w:rsidRPr="00D005A9" w:rsidRDefault="00316C23">
            <w:pPr>
              <w:pStyle w:val="TableParagraph"/>
              <w:spacing w:before="91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pacing w:val="-2"/>
                <w:sz w:val="24"/>
              </w:rPr>
              <w:t>Team/Service: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25224FB8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19B8E090" w14:textId="77777777">
        <w:trPr>
          <w:trHeight w:val="409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64470395" w14:textId="77777777" w:rsidR="00F61715" w:rsidRPr="00D005A9" w:rsidRDefault="00316C23">
            <w:pPr>
              <w:pStyle w:val="TableParagraph"/>
              <w:spacing w:before="91" w:line="299" w:lineRule="exact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Host</w:t>
            </w:r>
            <w:r w:rsidRPr="00D005A9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Local</w:t>
            </w:r>
            <w:r w:rsidRPr="00D005A9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Authority: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13616052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63D076D9" w14:textId="77777777">
        <w:trPr>
          <w:trHeight w:val="668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648BC5AF" w14:textId="77777777" w:rsidR="00F61715" w:rsidRPr="00D005A9" w:rsidRDefault="00316C23">
            <w:pPr>
              <w:pStyle w:val="TableParagraph"/>
              <w:spacing w:before="129" w:line="199" w:lineRule="auto"/>
              <w:ind w:left="90" w:right="1323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Peer</w:t>
            </w:r>
            <w:r w:rsidRPr="00D005A9">
              <w:rPr>
                <w:rFonts w:ascii="Arial" w:hAnsi="Arial" w:cs="Arial"/>
                <w:b/>
                <w:spacing w:val="-1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Learning</w:t>
            </w:r>
            <w:r w:rsidRPr="00D005A9">
              <w:rPr>
                <w:rFonts w:ascii="Arial" w:hAnsi="Arial" w:cs="Arial"/>
                <w:b/>
                <w:spacing w:val="-1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Review</w:t>
            </w:r>
            <w:r w:rsidRPr="00D005A9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 xml:space="preserve">Team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Member(s):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612BAE74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6F140899" w14:textId="77777777">
        <w:trPr>
          <w:trHeight w:val="1204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4F6C5373" w14:textId="77777777" w:rsidR="00F61715" w:rsidRPr="00D005A9" w:rsidRDefault="00316C23">
            <w:pPr>
              <w:pStyle w:val="TableParagraph"/>
              <w:spacing w:before="91"/>
              <w:ind w:left="113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Brief</w:t>
            </w:r>
            <w:r w:rsidRPr="00D005A9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summary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of</w:t>
            </w:r>
            <w:r w:rsidRPr="00D005A9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journey</w:t>
            </w:r>
            <w:r w:rsidRPr="00D005A9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of</w:t>
            </w:r>
            <w:r w:rsidRPr="00D005A9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child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to</w:t>
            </w:r>
            <w:r w:rsidRPr="00D005A9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date.</w:t>
            </w:r>
          </w:p>
          <w:p w14:paraId="09CA3CD8" w14:textId="77777777" w:rsidR="00F61715" w:rsidRPr="00D005A9" w:rsidRDefault="00316C23">
            <w:pPr>
              <w:pStyle w:val="TableParagraph"/>
              <w:spacing w:before="145"/>
              <w:ind w:left="113"/>
              <w:rPr>
                <w:rFonts w:ascii="Arial" w:hAnsi="Arial" w:cs="Arial"/>
                <w:i/>
                <w:sz w:val="20"/>
              </w:rPr>
            </w:pPr>
            <w:r w:rsidRPr="00D005A9">
              <w:rPr>
                <w:rFonts w:ascii="Arial" w:hAnsi="Arial" w:cs="Arial"/>
                <w:i/>
                <w:sz w:val="20"/>
              </w:rPr>
              <w:t>An</w:t>
            </w:r>
            <w:r w:rsidRPr="00D005A9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understanding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of</w:t>
            </w:r>
            <w:r w:rsidRPr="00D005A9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why</w:t>
            </w:r>
            <w:r w:rsidRPr="00D005A9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this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case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has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come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to</w:t>
            </w:r>
            <w:r w:rsidRPr="00D005A9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>PLO/Proceedings.</w:t>
            </w:r>
          </w:p>
          <w:p w14:paraId="2E8CEAAF" w14:textId="77777777" w:rsidR="00F61715" w:rsidRPr="00D005A9" w:rsidRDefault="00316C23">
            <w:pPr>
              <w:pStyle w:val="TableParagraph"/>
              <w:spacing w:before="115"/>
              <w:ind w:left="113"/>
              <w:rPr>
                <w:rFonts w:ascii="Arial" w:hAnsi="Arial" w:cs="Arial"/>
                <w:i/>
                <w:sz w:val="20"/>
              </w:rPr>
            </w:pPr>
            <w:r w:rsidRPr="00D005A9">
              <w:rPr>
                <w:rFonts w:ascii="Arial" w:hAnsi="Arial" w:cs="Arial"/>
                <w:i/>
                <w:sz w:val="20"/>
              </w:rPr>
              <w:t>Consider</w:t>
            </w:r>
            <w:r w:rsidRPr="00D005A9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where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these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cases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have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generated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from</w:t>
            </w:r>
            <w:r w:rsidRPr="00D005A9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e.g.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S37s?</w:t>
            </w:r>
            <w:r w:rsidRPr="00D005A9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Where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is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the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D005A9">
              <w:rPr>
                <w:rFonts w:ascii="Arial" w:hAnsi="Arial" w:cs="Arial"/>
                <w:i/>
                <w:sz w:val="20"/>
              </w:rPr>
              <w:t>push</w:t>
            </w:r>
            <w:r w:rsidRPr="00D005A9">
              <w:rPr>
                <w:rFonts w:ascii="Arial" w:hAnsi="Arial" w:cs="Arial"/>
                <w:i/>
                <w:spacing w:val="-2"/>
                <w:sz w:val="20"/>
              </w:rPr>
              <w:t xml:space="preserve"> from?</w:t>
            </w:r>
          </w:p>
        </w:tc>
      </w:tr>
      <w:tr w:rsidR="00F61715" w:rsidRPr="00D005A9" w14:paraId="4375E3DF" w14:textId="77777777">
        <w:trPr>
          <w:trHeight w:val="3125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F5F9F9"/>
          </w:tcPr>
          <w:p w14:paraId="6E9ACB4B" w14:textId="77777777" w:rsidR="00895BF6" w:rsidRPr="00D005A9" w:rsidRDefault="00895BF6">
            <w:pPr>
              <w:pStyle w:val="TableParagrap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61715" w:rsidRPr="00D005A9" w14:paraId="3770DDE7" w14:textId="77777777">
        <w:trPr>
          <w:trHeight w:val="447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1CB3C3F2" w14:textId="77777777" w:rsidR="00F61715" w:rsidRPr="00D005A9" w:rsidRDefault="00316C23">
            <w:pPr>
              <w:pStyle w:val="TableParagraph"/>
              <w:spacing w:before="91" w:line="337" w:lineRule="exact"/>
              <w:ind w:left="113"/>
              <w:rPr>
                <w:rFonts w:ascii="Arial" w:hAnsi="Arial" w:cs="Arial"/>
                <w:b/>
                <w:sz w:val="28"/>
              </w:rPr>
            </w:pPr>
            <w:r w:rsidRPr="00D005A9">
              <w:rPr>
                <w:rFonts w:ascii="Arial" w:hAnsi="Arial" w:cs="Arial"/>
                <w:b/>
                <w:sz w:val="28"/>
              </w:rPr>
              <w:t>1.</w:t>
            </w:r>
            <w:r w:rsidRPr="00D005A9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8"/>
              </w:rPr>
              <w:t>Assessment:</w:t>
            </w:r>
          </w:p>
        </w:tc>
      </w:tr>
      <w:tr w:rsidR="00F61715" w:rsidRPr="00D005A9" w14:paraId="01052FBA" w14:textId="77777777">
        <w:trPr>
          <w:trHeight w:val="970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7FFDA93A" w14:textId="77777777" w:rsidR="00F61715" w:rsidRPr="00D005A9" w:rsidRDefault="00F6171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14:paraId="41520CC2" w14:textId="77777777" w:rsidR="00F61715" w:rsidRPr="00D005A9" w:rsidRDefault="00316C23">
            <w:pPr>
              <w:pStyle w:val="TableParagraph"/>
              <w:spacing w:line="199" w:lineRule="auto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voice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of</w:t>
            </w:r>
            <w:r w:rsidRPr="00D005A9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child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clear</w:t>
            </w:r>
            <w:r w:rsidRPr="00D005A9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in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 xml:space="preserve">the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assessments?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03C03D88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1D8ED628" w14:textId="77777777">
        <w:trPr>
          <w:trHeight w:val="927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3F049137" w14:textId="77777777" w:rsidR="00F61715" w:rsidRPr="00D005A9" w:rsidRDefault="00316C23">
            <w:pPr>
              <w:pStyle w:val="TableParagraph"/>
              <w:spacing w:before="129" w:line="199" w:lineRule="auto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Have viability assessments of considered</w:t>
            </w:r>
            <w:r w:rsidRPr="00D005A9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family</w:t>
            </w:r>
            <w:r w:rsidRPr="00D005A9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members</w:t>
            </w:r>
            <w:r w:rsidRPr="00D005A9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 xml:space="preserve">been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completed?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2D43CFFD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0EDA1B30" w14:textId="77777777">
        <w:trPr>
          <w:trHeight w:val="447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0BBA8DAF" w14:textId="77777777" w:rsidR="00F61715" w:rsidRPr="00D005A9" w:rsidRDefault="00316C23">
            <w:pPr>
              <w:pStyle w:val="TableParagraph"/>
              <w:spacing w:before="91" w:line="337" w:lineRule="exact"/>
              <w:ind w:left="113"/>
              <w:rPr>
                <w:rFonts w:ascii="Arial" w:hAnsi="Arial" w:cs="Arial"/>
                <w:b/>
                <w:sz w:val="28"/>
              </w:rPr>
            </w:pPr>
            <w:r w:rsidRPr="00D005A9">
              <w:rPr>
                <w:rFonts w:ascii="Arial" w:hAnsi="Arial" w:cs="Arial"/>
                <w:b/>
                <w:sz w:val="28"/>
              </w:rPr>
              <w:t>2.</w:t>
            </w:r>
            <w:r w:rsidRPr="00D005A9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Management</w:t>
            </w:r>
            <w:r w:rsidRPr="00D005A9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Oversight</w:t>
            </w:r>
            <w:r w:rsidRPr="00D005A9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8"/>
              </w:rPr>
              <w:t>&amp;</w:t>
            </w:r>
            <w:r w:rsidRPr="00D005A9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8"/>
              </w:rPr>
              <w:t>Supervision:</w:t>
            </w:r>
          </w:p>
        </w:tc>
      </w:tr>
      <w:tr w:rsidR="00F61715" w:rsidRPr="00D005A9" w14:paraId="44C29DCF" w14:textId="77777777">
        <w:trPr>
          <w:trHeight w:val="1346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6051C525" w14:textId="77777777" w:rsidR="00F61715" w:rsidRPr="00D005A9" w:rsidRDefault="00316C23">
            <w:pPr>
              <w:pStyle w:val="TableParagraph"/>
              <w:spacing w:before="129" w:line="199" w:lineRule="auto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there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a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clear</w:t>
            </w:r>
            <w:r w:rsidRPr="00D005A9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management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footprint at each stage of the case escalating?</w:t>
            </w:r>
          </w:p>
          <w:p w14:paraId="3C050BEF" w14:textId="77777777" w:rsidR="00F61715" w:rsidRPr="00D005A9" w:rsidRDefault="00316C23">
            <w:pPr>
              <w:pStyle w:val="TableParagraph"/>
              <w:spacing w:before="160" w:line="199" w:lineRule="auto"/>
              <w:ind w:left="90" w:right="125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 there evidence of pause points where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critical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decisions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are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made?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28A7B474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92CD59A" w14:textId="77777777" w:rsidR="00F61715" w:rsidRPr="00D005A9" w:rsidRDefault="00F61715">
      <w:pPr>
        <w:rPr>
          <w:rFonts w:ascii="Arial" w:hAnsi="Arial" w:cs="Arial"/>
        </w:rPr>
        <w:sectPr w:rsidR="00F61715" w:rsidRPr="00D005A9">
          <w:type w:val="continuous"/>
          <w:pgSz w:w="11910" w:h="16840"/>
          <w:pgMar w:top="620" w:right="640" w:bottom="280" w:left="620" w:header="720" w:footer="720" w:gutter="0"/>
          <w:cols w:space="720"/>
        </w:sectPr>
      </w:pPr>
    </w:p>
    <w:p w14:paraId="480B791E" w14:textId="77777777" w:rsidR="00F61715" w:rsidRPr="00D005A9" w:rsidRDefault="00F61715">
      <w:pPr>
        <w:pStyle w:val="BodyText"/>
        <w:spacing w:before="6"/>
        <w:rPr>
          <w:rFonts w:ascii="Arial" w:hAnsi="Arial" w:cs="Arial"/>
          <w:sz w:val="7"/>
        </w:rPr>
      </w:pPr>
    </w:p>
    <w:tbl>
      <w:tblPr>
        <w:tblW w:w="0" w:type="auto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5988"/>
      </w:tblGrid>
      <w:tr w:rsidR="00F61715" w:rsidRPr="00D005A9" w14:paraId="563E81EA" w14:textId="77777777">
        <w:trPr>
          <w:trHeight w:val="447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7B325D9E" w14:textId="77777777" w:rsidR="00F61715" w:rsidRPr="00D005A9" w:rsidRDefault="00316C23">
            <w:pPr>
              <w:pStyle w:val="TableParagraph"/>
              <w:spacing w:before="91" w:line="337" w:lineRule="exact"/>
              <w:ind w:left="113"/>
              <w:rPr>
                <w:rFonts w:ascii="Arial" w:hAnsi="Arial" w:cs="Arial"/>
                <w:b/>
                <w:sz w:val="28"/>
              </w:rPr>
            </w:pPr>
            <w:r w:rsidRPr="00D005A9">
              <w:rPr>
                <w:rFonts w:ascii="Arial" w:hAnsi="Arial" w:cs="Arial"/>
                <w:b/>
                <w:sz w:val="28"/>
              </w:rPr>
              <w:t>3.</w:t>
            </w:r>
            <w:r w:rsidRPr="00D005A9">
              <w:rPr>
                <w:rFonts w:ascii="Arial" w:hAnsi="Arial" w:cs="Arial"/>
                <w:b/>
                <w:spacing w:val="-2"/>
                <w:sz w:val="28"/>
              </w:rPr>
              <w:t xml:space="preserve"> Intervention:</w:t>
            </w:r>
          </w:p>
        </w:tc>
      </w:tr>
      <w:tr w:rsidR="00F61715" w:rsidRPr="00D005A9" w14:paraId="198BFF02" w14:textId="77777777">
        <w:trPr>
          <w:trHeight w:val="1300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370AD03D" w14:textId="77777777" w:rsidR="00F61715" w:rsidRPr="00D005A9" w:rsidRDefault="00316C23">
            <w:pPr>
              <w:pStyle w:val="TableParagraph"/>
              <w:spacing w:before="186" w:line="199" w:lineRule="auto"/>
              <w:ind w:left="90" w:right="125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 it clear on file how it has been explained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to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family</w:t>
            </w:r>
            <w:r w:rsidRPr="00D005A9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what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they need to change to prevent the escalation of the case?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34E39305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6711EDBC" w14:textId="77777777">
        <w:trPr>
          <w:trHeight w:val="1303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2AC2C18D" w14:textId="77777777" w:rsidR="00F61715" w:rsidRPr="00D005A9" w:rsidRDefault="00316C23">
            <w:pPr>
              <w:pStyle w:val="TableParagraph"/>
              <w:spacing w:before="129" w:line="199" w:lineRule="auto"/>
              <w:ind w:left="90" w:right="125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What direct work has been undertaken</w:t>
            </w:r>
            <w:r w:rsidRPr="00D005A9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with</w:t>
            </w:r>
            <w:r w:rsidRPr="00D005A9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family?</w:t>
            </w:r>
          </w:p>
          <w:p w14:paraId="0C87FF30" w14:textId="77777777" w:rsidR="00F61715" w:rsidRPr="00D005A9" w:rsidRDefault="00316C23">
            <w:pPr>
              <w:pStyle w:val="TableParagraph"/>
              <w:spacing w:before="155" w:line="199" w:lineRule="auto"/>
              <w:ind w:left="90"/>
              <w:rPr>
                <w:rFonts w:ascii="Arial" w:hAnsi="Arial" w:cs="Arial"/>
                <w:i/>
              </w:rPr>
            </w:pPr>
            <w:r w:rsidRPr="00D005A9">
              <w:rPr>
                <w:rFonts w:ascii="Arial" w:hAnsi="Arial" w:cs="Arial"/>
                <w:i/>
              </w:rPr>
              <w:t>Is</w:t>
            </w:r>
            <w:r w:rsidRPr="00D005A9">
              <w:rPr>
                <w:rFonts w:ascii="Arial" w:hAnsi="Arial" w:cs="Arial"/>
                <w:i/>
                <w:spacing w:val="-13"/>
              </w:rPr>
              <w:t xml:space="preserve"> </w:t>
            </w:r>
            <w:r w:rsidRPr="00D005A9">
              <w:rPr>
                <w:rFonts w:ascii="Arial" w:hAnsi="Arial" w:cs="Arial"/>
                <w:i/>
              </w:rPr>
              <w:t>there</w:t>
            </w:r>
            <w:r w:rsidRPr="00D005A9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D005A9">
              <w:rPr>
                <w:rFonts w:ascii="Arial" w:hAnsi="Arial" w:cs="Arial"/>
                <w:i/>
              </w:rPr>
              <w:t>evidence</w:t>
            </w:r>
            <w:r w:rsidRPr="00D005A9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D005A9">
              <w:rPr>
                <w:rFonts w:ascii="Arial" w:hAnsi="Arial" w:cs="Arial"/>
                <w:i/>
              </w:rPr>
              <w:t>of</w:t>
            </w:r>
            <w:r w:rsidRPr="00D005A9">
              <w:rPr>
                <w:rFonts w:ascii="Arial" w:hAnsi="Arial" w:cs="Arial"/>
                <w:i/>
                <w:spacing w:val="-15"/>
              </w:rPr>
              <w:t xml:space="preserve"> </w:t>
            </w:r>
            <w:r w:rsidRPr="00D005A9">
              <w:rPr>
                <w:rFonts w:ascii="Arial" w:hAnsi="Arial" w:cs="Arial"/>
                <w:i/>
              </w:rPr>
              <w:t xml:space="preserve">relationship-based </w:t>
            </w:r>
            <w:r w:rsidRPr="00D005A9">
              <w:rPr>
                <w:rFonts w:ascii="Arial" w:hAnsi="Arial" w:cs="Arial"/>
                <w:i/>
                <w:spacing w:val="-4"/>
              </w:rPr>
              <w:t>practice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to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promote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change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within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the</w:t>
            </w:r>
            <w:r w:rsidRPr="00D005A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005A9">
              <w:rPr>
                <w:rFonts w:ascii="Arial" w:hAnsi="Arial" w:cs="Arial"/>
                <w:i/>
                <w:spacing w:val="-4"/>
              </w:rPr>
              <w:t>family?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58559A6B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1A112E88" w14:textId="77777777">
        <w:trPr>
          <w:trHeight w:val="1327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35DA3098" w14:textId="77777777" w:rsidR="00F61715" w:rsidRPr="00D005A9" w:rsidRDefault="00F61715">
            <w:pPr>
              <w:pStyle w:val="TableParagraph"/>
              <w:spacing w:before="4"/>
              <w:rPr>
                <w:rFonts w:ascii="Arial" w:hAnsi="Arial" w:cs="Arial"/>
                <w:b/>
                <w:sz w:val="25"/>
              </w:rPr>
            </w:pPr>
          </w:p>
          <w:p w14:paraId="0E871542" w14:textId="77777777" w:rsidR="00F61715" w:rsidRPr="00D005A9" w:rsidRDefault="00316C23">
            <w:pPr>
              <w:pStyle w:val="TableParagraph"/>
              <w:spacing w:line="199" w:lineRule="auto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Has there been consideration even though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threshold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is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met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–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is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it</w:t>
            </w:r>
            <w:r w:rsidRPr="00D005A9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 right thing to do?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6F4736E0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15813B91" w14:textId="77777777">
        <w:trPr>
          <w:trHeight w:val="1218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2032D453" w14:textId="77777777" w:rsidR="00F61715" w:rsidRPr="00D005A9" w:rsidRDefault="00F61715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14:paraId="5908417A" w14:textId="77777777" w:rsidR="00F61715" w:rsidRPr="00D005A9" w:rsidRDefault="00316C23">
            <w:pPr>
              <w:pStyle w:val="TableParagraph"/>
              <w:spacing w:line="199" w:lineRule="auto"/>
              <w:ind w:left="90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 it evident that the making of the Order</w:t>
            </w:r>
            <w:r w:rsidRPr="00D005A9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was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only</w:t>
            </w:r>
            <w:r w:rsidRPr="00D005A9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way</w:t>
            </w:r>
            <w:r w:rsidRPr="00D005A9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to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improve</w:t>
            </w:r>
            <w:r w:rsidRPr="00D005A9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 outcomes for the child?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2CC4D08B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3F6DAC42" w14:textId="77777777">
        <w:trPr>
          <w:trHeight w:val="1217"/>
        </w:trPr>
        <w:tc>
          <w:tcPr>
            <w:tcW w:w="4457" w:type="dxa"/>
            <w:tcBorders>
              <w:left w:val="nil"/>
            </w:tcBorders>
            <w:shd w:val="clear" w:color="auto" w:fill="CADFE0"/>
          </w:tcPr>
          <w:p w14:paraId="19D6DFB4" w14:textId="77777777" w:rsidR="00F61715" w:rsidRPr="00D005A9" w:rsidRDefault="00F61715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14:paraId="6350AE71" w14:textId="77777777" w:rsidR="00F61715" w:rsidRPr="00D005A9" w:rsidRDefault="00316C23" w:rsidP="00D005A9">
            <w:pPr>
              <w:pStyle w:val="TableParagraph"/>
              <w:spacing w:line="199" w:lineRule="auto"/>
              <w:ind w:left="90" w:right="853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Are there any other resources/ interventions that would have prevented</w:t>
            </w:r>
            <w:r w:rsidRPr="00D005A9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</w:t>
            </w:r>
            <w:r w:rsidRPr="00D005A9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case</w:t>
            </w:r>
            <w:r w:rsidRPr="00D005A9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pacing w:val="-2"/>
                <w:sz w:val="24"/>
              </w:rPr>
              <w:t>escalating?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F5F9F9"/>
          </w:tcPr>
          <w:p w14:paraId="29410BC7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1715" w:rsidRPr="00D005A9" w14:paraId="68C638ED" w14:textId="77777777">
        <w:trPr>
          <w:trHeight w:val="447"/>
        </w:trPr>
        <w:tc>
          <w:tcPr>
            <w:tcW w:w="10445" w:type="dxa"/>
            <w:gridSpan w:val="2"/>
            <w:tcBorders>
              <w:left w:val="nil"/>
              <w:right w:val="nil"/>
            </w:tcBorders>
            <w:shd w:val="clear" w:color="auto" w:fill="96C0C1"/>
          </w:tcPr>
          <w:p w14:paraId="6D762715" w14:textId="77777777" w:rsidR="00F61715" w:rsidRPr="00D005A9" w:rsidRDefault="00316C23">
            <w:pPr>
              <w:pStyle w:val="TableParagraph"/>
              <w:spacing w:before="91" w:line="337" w:lineRule="exact"/>
              <w:ind w:left="113"/>
              <w:rPr>
                <w:rFonts w:ascii="Arial" w:hAnsi="Arial" w:cs="Arial"/>
                <w:b/>
                <w:sz w:val="28"/>
              </w:rPr>
            </w:pPr>
            <w:r w:rsidRPr="00D005A9">
              <w:rPr>
                <w:rFonts w:ascii="Arial" w:hAnsi="Arial" w:cs="Arial"/>
                <w:b/>
                <w:sz w:val="28"/>
              </w:rPr>
              <w:t xml:space="preserve">4. </w:t>
            </w:r>
            <w:r w:rsidRPr="00D005A9">
              <w:rPr>
                <w:rFonts w:ascii="Arial" w:hAnsi="Arial" w:cs="Arial"/>
                <w:b/>
                <w:spacing w:val="-2"/>
                <w:sz w:val="28"/>
              </w:rPr>
              <w:t>Planning</w:t>
            </w:r>
          </w:p>
        </w:tc>
      </w:tr>
      <w:tr w:rsidR="00F61715" w:rsidRPr="00D005A9" w14:paraId="50AA4714" w14:textId="77777777">
        <w:trPr>
          <w:trHeight w:val="1370"/>
        </w:trPr>
        <w:tc>
          <w:tcPr>
            <w:tcW w:w="4457" w:type="dxa"/>
            <w:tcBorders>
              <w:left w:val="nil"/>
              <w:bottom w:val="nil"/>
            </w:tcBorders>
            <w:shd w:val="clear" w:color="auto" w:fill="CADFE0"/>
          </w:tcPr>
          <w:p w14:paraId="1782D64F" w14:textId="77777777" w:rsidR="00F61715" w:rsidRPr="00D005A9" w:rsidRDefault="00316C23">
            <w:pPr>
              <w:pStyle w:val="TableParagraph"/>
              <w:spacing w:before="210" w:line="199" w:lineRule="auto"/>
              <w:ind w:left="90" w:right="125"/>
              <w:rPr>
                <w:rFonts w:ascii="Arial" w:hAnsi="Arial" w:cs="Arial"/>
                <w:b/>
                <w:sz w:val="24"/>
              </w:rPr>
            </w:pPr>
            <w:r w:rsidRPr="00D005A9">
              <w:rPr>
                <w:rFonts w:ascii="Arial" w:hAnsi="Arial" w:cs="Arial"/>
                <w:b/>
                <w:sz w:val="24"/>
              </w:rPr>
              <w:t>Is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there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evidence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of</w:t>
            </w:r>
            <w:r w:rsidRPr="00D005A9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planning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with</w:t>
            </w:r>
            <w:r w:rsidRPr="00D005A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D005A9">
              <w:rPr>
                <w:rFonts w:ascii="Arial" w:hAnsi="Arial" w:cs="Arial"/>
                <w:b/>
                <w:sz w:val="24"/>
              </w:rPr>
              <w:t>the family either through formal Family Group Conference (FGC) or other family plans?</w:t>
            </w:r>
          </w:p>
        </w:tc>
        <w:tc>
          <w:tcPr>
            <w:tcW w:w="5988" w:type="dxa"/>
            <w:tcBorders>
              <w:bottom w:val="nil"/>
              <w:right w:val="nil"/>
            </w:tcBorders>
            <w:shd w:val="clear" w:color="auto" w:fill="F5F9F9"/>
          </w:tcPr>
          <w:p w14:paraId="116451FE" w14:textId="77777777" w:rsidR="00F61715" w:rsidRPr="00D005A9" w:rsidRDefault="00F617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F75A0E2" w14:textId="77777777" w:rsidR="00316C23" w:rsidRPr="00D005A9" w:rsidRDefault="00316C23">
      <w:pPr>
        <w:rPr>
          <w:rFonts w:ascii="Arial" w:hAnsi="Arial" w:cs="Arial"/>
        </w:rPr>
      </w:pPr>
    </w:p>
    <w:sectPr w:rsidR="00316C23" w:rsidRPr="00D005A9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a Grotesque Alt 1 Bold">
    <w:altName w:val="Lota Grotesque Alt 1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15"/>
    <w:rsid w:val="00316C23"/>
    <w:rsid w:val="00895BF6"/>
    <w:rsid w:val="00AD1D5C"/>
    <w:rsid w:val="00D005A9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7905"/>
  <w15:docId w15:val="{284F5018-B3EE-4719-A024-BC09CDF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 Bold" w:eastAsia="Lota Grotesque Alt 1 Bold" w:hAnsi="Lota Grotesque Alt 1 Bold" w:cs="Lota Grotesque Alt 1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ota Grotesque Alt 1 Black" w:eastAsia="Lota Grotesque Alt 1 Black" w:hAnsi="Lota Grotesque Alt 1 Black" w:cs="Lota Grotesque Alt 1 Black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FA6B0-895A-406A-99A0-67E2E591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96352-75DF-4B45-927A-77503760A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2D12F-73B3-4798-BFEB-8ED23B60535B}">
  <ds:schemaRefs>
    <ds:schemaRef ds:uri="02f29b82-9a2b-49b2-925a-4067e83577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d24b26-6ed9-4e10-938a-4527c2a107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2022-07-21T09:09:00Z</dcterms:created>
  <dcterms:modified xsi:type="dcterms:W3CDTF">2022-07-21T09:09:00Z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